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1E" w:rsidRPr="009728ED" w:rsidRDefault="00DB611E" w:rsidP="000A6DEA">
      <w:pPr>
        <w:jc w:val="center"/>
        <w:rPr>
          <w:rFonts w:ascii="Sylfaen" w:eastAsia="Times New Roman" w:hAnsi="Sylfaen" w:cs="Sylfaen"/>
          <w:b/>
          <w:color w:val="000000"/>
          <w:sz w:val="24"/>
          <w:szCs w:val="24"/>
          <w:lang w:val="en-US" w:eastAsia="ru-RU"/>
        </w:rPr>
      </w:pP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გრიპისმაგვარი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დაავადებებისა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9728E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>ILI)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მძიმე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მწვავე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რესპირატორული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ინფექციები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(SARI) 2016-2017;2017-18; 2018-19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წლების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სეზონი</w:t>
      </w:r>
      <w:r w:rsidRPr="009728E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საყრდენი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ბაზების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მიხედვით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***. </w:t>
      </w:r>
      <w:r w:rsidRPr="009728E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>(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სვეტებით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მოცემულია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ლაბორატორიულად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დადასტურებული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შემთხვევები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*)</w:t>
      </w:r>
    </w:p>
    <w:p w:rsidR="00DB611E" w:rsidRDefault="00EF05A7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 w:rsidRPr="00EF05A7">
        <w:rPr>
          <w:noProof/>
          <w:lang w:val="en-US"/>
        </w:rPr>
        <w:drawing>
          <wp:inline distT="0" distB="0" distL="0" distR="0">
            <wp:extent cx="9251950" cy="26777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67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11E" w:rsidRDefault="00EF05A7" w:rsidP="000A6DEA">
      <w:pPr>
        <w:jc w:val="center"/>
        <w:rPr>
          <w:rFonts w:ascii="Sylfaen" w:eastAsia="Times New Roman" w:hAnsi="Sylfaen" w:cs="Sylfaen"/>
          <w:b/>
          <w:noProof/>
          <w:color w:val="000000"/>
          <w:lang w:val="en-US"/>
        </w:rPr>
      </w:pPr>
      <w:r w:rsidRPr="00EF05A7">
        <w:rPr>
          <w:noProof/>
          <w:lang w:val="en-US"/>
        </w:rPr>
        <w:drawing>
          <wp:inline distT="0" distB="0" distL="0" distR="0">
            <wp:extent cx="9251950" cy="253444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53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1EB" w:rsidRDefault="00A731EB" w:rsidP="000A6DEA">
      <w:pPr>
        <w:jc w:val="center"/>
        <w:rPr>
          <w:rFonts w:ascii="Sylfaen" w:eastAsia="Times New Roman" w:hAnsi="Sylfaen" w:cs="Sylfaen"/>
          <w:b/>
          <w:noProof/>
          <w:color w:val="000000"/>
          <w:lang w:val="en-US"/>
        </w:rPr>
      </w:pPr>
    </w:p>
    <w:p w:rsidR="000D11A8" w:rsidRDefault="000D11A8" w:rsidP="000D11A8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lastRenderedPageBreak/>
        <w:t>გრიპისმაგვარი დაავადებებისა (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ILI)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 xml:space="preserve">ინციდენტობა** 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>2017-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val="ka-GE"/>
        </w:rPr>
        <w:t>20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>18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val="ka-GE"/>
        </w:rPr>
        <w:t>, 2018-2019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წლების სეზონი, (საყრდენი ბაზების მიხედვით***)</w:t>
      </w:r>
    </w:p>
    <w:p w:rsidR="00EF05A7" w:rsidRDefault="009728ED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>
        <w:rPr>
          <w:rFonts w:ascii="Sylfaen" w:eastAsia="Times New Roman" w:hAnsi="Sylfaen" w:cs="Sylfaen"/>
          <w:b/>
          <w:color w:val="000000"/>
          <w:lang w:val="en-US" w:eastAsia="ru-RU"/>
        </w:rPr>
        <w:t xml:space="preserve"> </w:t>
      </w:r>
    </w:p>
    <w:tbl>
      <w:tblPr>
        <w:tblW w:w="1472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9"/>
        <w:gridCol w:w="442"/>
        <w:gridCol w:w="352"/>
        <w:gridCol w:w="4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351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36"/>
        <w:gridCol w:w="436"/>
        <w:gridCol w:w="346"/>
        <w:gridCol w:w="436"/>
        <w:gridCol w:w="346"/>
        <w:gridCol w:w="346"/>
        <w:gridCol w:w="346"/>
        <w:gridCol w:w="346"/>
      </w:tblGrid>
      <w:tr w:rsidR="00EF05A7" w:rsidRPr="00EF05A7" w:rsidTr="00EF05A7">
        <w:trPr>
          <w:trHeight w:val="978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წლის</w:t>
            </w:r>
          </w:p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კალენდარული</w:t>
            </w:r>
          </w:p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40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41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42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43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44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45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46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47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48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49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50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51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52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9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10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11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12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13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14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15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16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17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18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19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color w:val="000000" w:themeColor="text1"/>
                <w:kern w:val="24"/>
                <w:sz w:val="20"/>
                <w:szCs w:val="20"/>
                <w:lang w:val="en-US"/>
              </w:rPr>
              <w:t>20</w:t>
            </w:r>
          </w:p>
        </w:tc>
      </w:tr>
      <w:tr w:rsidR="00EF05A7" w:rsidRPr="00EF05A7" w:rsidTr="00EF05A7">
        <w:trPr>
          <w:trHeight w:val="517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2017-</w:t>
            </w: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</w:t>
            </w: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</w:t>
            </w: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 xml:space="preserve"> წ.წ.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123,3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82,1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102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167,5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176,1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152,1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195,9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123,6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131,4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166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98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119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103,3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55,1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102,7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79.5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94,4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114,4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128,8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115,9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118,3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89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106,2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127,8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100,5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116,4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96,4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98,2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108,1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99,6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99,2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85,8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62,6</w:t>
            </w:r>
          </w:p>
        </w:tc>
      </w:tr>
      <w:tr w:rsidR="00EF05A7" w:rsidRPr="00EF05A7" w:rsidTr="00EF05A7">
        <w:trPr>
          <w:trHeight w:val="585"/>
        </w:trPr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2018-2019 წ.წ.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62.4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73.4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175.4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122,4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134,8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195,5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167,5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122,2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119,1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171,8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185,2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220,9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276,7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256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253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251,1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249,3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211,6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186,6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178,2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100,5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131,6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111,9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93,5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87,2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104,1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100,3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D11A8" w:rsidRDefault="00EF05A7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>
        <w:rPr>
          <w:rFonts w:ascii="Sylfaen" w:eastAsia="Times New Roman" w:hAnsi="Sylfaen" w:cs="Sylfaen"/>
          <w:b/>
          <w:color w:val="000000"/>
          <w:lang w:val="en-US" w:eastAsia="ru-RU"/>
        </w:rPr>
        <w:t xml:space="preserve"> </w:t>
      </w:r>
    </w:p>
    <w:p w:rsidR="009728ED" w:rsidRDefault="009728ED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0D11A8" w:rsidRDefault="00B64C72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 w:rsidRPr="000D11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7DB57" wp14:editId="28067BD0">
                <wp:simplePos x="0" y="0"/>
                <wp:positionH relativeFrom="column">
                  <wp:posOffset>-348615</wp:posOffset>
                </wp:positionH>
                <wp:positionV relativeFrom="paragraph">
                  <wp:posOffset>314326</wp:posOffset>
                </wp:positionV>
                <wp:extent cx="10925175" cy="609600"/>
                <wp:effectExtent l="0" t="0" r="0" b="0"/>
                <wp:wrapNone/>
                <wp:docPr id="52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51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4B4" w:rsidRDefault="005E54B4" w:rsidP="000D11A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მძიმე მწვავე რესპირატორული ინფექციების (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SARI) 2017-18; 2018-19 </w:t>
                            </w: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წლების სეზონის % წილი საერთო ჰოსპიტალიზაციაში</w:t>
                            </w:r>
                          </w:p>
                          <w:p w:rsidR="005E54B4" w:rsidRPr="00EF05A7" w:rsidRDefault="005E54B4" w:rsidP="000D11A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(საყრდენი ბაზების მიხედვით***)</w:t>
                            </w: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D7DB57" id="Rectangle 2" o:spid="_x0000_s1026" style="position:absolute;left:0;text-align:left;margin-left:-27.45pt;margin-top:24.75pt;width:860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" filled="f" stroked="f">
                <v:textbox>
                  <w:txbxContent>
                    <w:p w:rsidR="0039192A" w:rsidRDefault="0039192A" w:rsidP="000D11A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მძიმე მწვავე რესპირატორული ინფექციების (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SARI) 2017-18; 2018-19 </w:t>
                      </w: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წლების სეზონის % წილი საერთო ჰოსპიტალიზაციაში</w:t>
                      </w:r>
                    </w:p>
                    <w:p w:rsidR="0039192A" w:rsidRPr="00EF05A7" w:rsidRDefault="0039192A" w:rsidP="000D11A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 xml:space="preserve"> (საყრდენი ბაზების მიხედვით***)</w:t>
                      </w: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D11A8" w:rsidRDefault="000D11A8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B64C72" w:rsidRDefault="00B64C72" w:rsidP="000D11A8">
      <w:pPr>
        <w:pStyle w:val="NormalWeb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</w:pPr>
    </w:p>
    <w:p w:rsidR="00B64C72" w:rsidRDefault="00B64C72" w:rsidP="000D11A8">
      <w:pPr>
        <w:pStyle w:val="NormalWeb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</w:pPr>
    </w:p>
    <w:tbl>
      <w:tblPr>
        <w:tblW w:w="1493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9"/>
        <w:gridCol w:w="411"/>
        <w:gridCol w:w="411"/>
        <w:gridCol w:w="411"/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2"/>
        <w:gridCol w:w="411"/>
        <w:gridCol w:w="412"/>
        <w:gridCol w:w="411"/>
        <w:gridCol w:w="411"/>
        <w:gridCol w:w="411"/>
        <w:gridCol w:w="411"/>
        <w:gridCol w:w="411"/>
        <w:gridCol w:w="411"/>
        <w:gridCol w:w="411"/>
        <w:gridCol w:w="410"/>
        <w:gridCol w:w="410"/>
        <w:gridCol w:w="410"/>
        <w:gridCol w:w="410"/>
        <w:gridCol w:w="394"/>
        <w:gridCol w:w="390"/>
        <w:gridCol w:w="394"/>
        <w:gridCol w:w="410"/>
      </w:tblGrid>
      <w:tr w:rsidR="00EF05A7" w:rsidRPr="00EF05A7" w:rsidTr="00EF05A7">
        <w:trPr>
          <w:trHeight w:val="1317"/>
        </w:trPr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წლის</w:t>
            </w:r>
          </w:p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კალენდარული</w:t>
            </w:r>
          </w:p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41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43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44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45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46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47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48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50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51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4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5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10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11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13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14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15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17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19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color w:val="000000" w:themeColor="text1"/>
                <w:kern w:val="24"/>
                <w:sz w:val="20"/>
                <w:szCs w:val="20"/>
                <w:lang w:val="en-US"/>
              </w:rPr>
              <w:t>20</w:t>
            </w:r>
          </w:p>
        </w:tc>
      </w:tr>
      <w:tr w:rsidR="00EF05A7" w:rsidRPr="00EF05A7" w:rsidTr="00EF05A7">
        <w:trPr>
          <w:trHeight w:val="552"/>
        </w:trPr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2017-</w:t>
            </w: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</w:t>
            </w: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</w:t>
            </w: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 xml:space="preserve"> წ.წ.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9,9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12,1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16,3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14,4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13,8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13,5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13,6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15,9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19,6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19,9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18,3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15.4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15,9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18,7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16,8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17,1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17,5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16,1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18,3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14,</w:t>
            </w: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14,9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11,4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9,3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9,2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11,5</w:t>
            </w:r>
          </w:p>
        </w:tc>
      </w:tr>
      <w:tr w:rsidR="00EF05A7" w:rsidRPr="00EF05A7" w:rsidTr="00EF05A7">
        <w:trPr>
          <w:trHeight w:val="611"/>
        </w:trPr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2018-2019 წ.წ.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15.8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19.8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14.9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12,8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16,9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23,2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20,2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23,4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26,6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41,6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33,1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31,6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30,9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26,8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21.5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ka-GE"/>
              </w:rPr>
              <w:t>17,6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22,9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19,2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16,3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18,6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17,1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EF05A7">
              <w:rPr>
                <w:rFonts w:ascii="Sylfaen" w:eastAsia="Times New Roman" w:hAnsi="Sylfaen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18,6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F05A7" w:rsidRPr="00EF05A7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728ED" w:rsidRDefault="009728ED" w:rsidP="000D11A8">
      <w:pPr>
        <w:pStyle w:val="NormalWeb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</w:pPr>
    </w:p>
    <w:p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*     </w:t>
      </w:r>
      <w:proofErr w:type="gramStart"/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ლაბორატორიულად</w:t>
      </w:r>
      <w:proofErr w:type="gramEnd"/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 xml:space="preserve"> დადასტურებული შემთხვევები მოცემულია აბსოლიტურ რიცხვებში </w:t>
      </w:r>
    </w:p>
    <w:p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**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  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ინციდენტობა - შემთხვევების რაოდენობა 100000 მოსახლეზე</w:t>
      </w:r>
    </w:p>
    <w:p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***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 xml:space="preserve">საყდენი ბაზები - საქართველოს სხვადასხვა ქალაქებში არსებული კლინიკები და პოლიკლინიკები სადაც ხორციელდება სტატისტიკური მონაცემების შეგროვება და 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 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ვირუსოლოგიური მონიტორინგი</w:t>
      </w:r>
    </w:p>
    <w:p w:rsidR="00DB611E" w:rsidRPr="009547E9" w:rsidRDefault="000D11A8" w:rsidP="000D11A8">
      <w:pP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en-US"/>
        </w:rPr>
      </w:pP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40"/>
          <w:szCs w:val="40"/>
        </w:rPr>
        <w:lastRenderedPageBreak/>
        <w:br/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საყრდენი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ბაზებით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ეპიდზედამხედველობის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ფარგლებში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დადგენილი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br/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მოცირკულირე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რესპირატორული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პათოგენები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,</w:t>
      </w:r>
      <w:r w:rsidRPr="009547E9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გრიპის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2018-2019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.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. 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სეზონი</w:t>
      </w:r>
    </w:p>
    <w:tbl>
      <w:tblPr>
        <w:tblW w:w="1451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27"/>
        <w:gridCol w:w="396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3"/>
      </w:tblGrid>
      <w:tr w:rsidR="00EF05A7" w:rsidRPr="00B64C72" w:rsidTr="00EF05A7">
        <w:trPr>
          <w:trHeight w:val="781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წლის კალენდარული კვირა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40</w:t>
            </w: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42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43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44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45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46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47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48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49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50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52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3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6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7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8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9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10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12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13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14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15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16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17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18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19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20</w:t>
            </w: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21</w:t>
            </w:r>
          </w:p>
        </w:tc>
      </w:tr>
      <w:tr w:rsidR="00EF05A7" w:rsidRPr="00B64C72" w:rsidTr="00EF05A7">
        <w:trPr>
          <w:trHeight w:val="430"/>
        </w:trPr>
        <w:tc>
          <w:tcPr>
            <w:tcW w:w="17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</w:t>
            </w: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468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A/</w:t>
            </w: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H1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Default="00EF05A7" w:rsidP="00EF05A7">
            <w:r w:rsidRPr="004A5ED1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781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A/H3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Default="00EF05A7" w:rsidP="00EF05A7">
            <w:r w:rsidRPr="004A5ED1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05A7" w:rsidRPr="00B64C72" w:rsidRDefault="00EF05A7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784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I</w:t>
            </w: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nfluenza B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468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Rhinovirus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9728ED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EF05A7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700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Coronavirus NL63</w:t>
            </w: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/</w:t>
            </w: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229E </w:t>
            </w: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/</w:t>
            </w: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OC43/HKU1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9728ED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609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ind w:firstLine="173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Parainfluenza 1, 2, 3, 4,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520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Human metapneumovirus A/B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9728ED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EF05A7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545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Bocavirus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437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Respiratory syncytial virus A/B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8C0F7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EF05A7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392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4"/>
                <w:szCs w:val="24"/>
                <w:lang w:val="ka-GE"/>
              </w:rPr>
              <w:t>Adenovirus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8C0F7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EF05A7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392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r w:rsidRPr="00B64C72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Entero</w:t>
            </w:r>
            <w:proofErr w:type="spellEnd"/>
            <w:r w:rsidRPr="00B64C72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 xml:space="preserve"> virus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D11A8" w:rsidRDefault="000D11A8" w:rsidP="000D11A8">
      <w:pP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36"/>
          <w:szCs w:val="36"/>
          <w:lang w:val="en-US"/>
        </w:rPr>
      </w:pPr>
    </w:p>
    <w:p w:rsidR="000D11A8" w:rsidRDefault="000D11A8" w:rsidP="000D11A8">
      <w:pPr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0D11A8" w:rsidRDefault="00B64C72" w:rsidP="000D11A8">
      <w:pPr>
        <w:rPr>
          <w:rFonts w:ascii="Sylfaen" w:eastAsia="Times New Roman" w:hAnsi="Sylfaen" w:cs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>მე-1</w:t>
      </w:r>
      <w:r w:rsidR="00EF05A7">
        <w:rPr>
          <w:rFonts w:ascii="Sylfaen" w:eastAsia="Times New Roman" w:hAnsi="Sylfaen" w:cs="Sylfaen"/>
          <w:b/>
          <w:color w:val="000000"/>
          <w:lang w:val="en-US" w:eastAsia="ru-RU"/>
        </w:rPr>
        <w:t>4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კალენდარული კვირის მანძილზე </w:t>
      </w:r>
      <w:r w:rsidR="00671508">
        <w:rPr>
          <w:rFonts w:ascii="Sylfaen" w:eastAsia="Times New Roman" w:hAnsi="Sylfaen" w:cs="Sylfaen"/>
          <w:b/>
          <w:color w:val="000000"/>
          <w:lang w:val="en-US" w:eastAsia="ru-RU"/>
        </w:rPr>
        <w:t xml:space="preserve">ILI 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და </w:t>
      </w:r>
      <w:r w:rsidR="00671508">
        <w:rPr>
          <w:rFonts w:ascii="Sylfaen" w:eastAsia="Times New Roman" w:hAnsi="Sylfaen" w:cs="Sylfaen"/>
          <w:b/>
          <w:color w:val="000000"/>
          <w:lang w:val="en-US" w:eastAsia="ru-RU"/>
        </w:rPr>
        <w:t>SARI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მაჩვენებლები სტაბილურია საყრდენი ბაზების ფარგლებში. </w:t>
      </w:r>
      <w:r w:rsidR="008C0F7A">
        <w:rPr>
          <w:rFonts w:ascii="Sylfaen" w:eastAsia="Times New Roman" w:hAnsi="Sylfaen" w:cs="Sylfaen"/>
          <w:b/>
          <w:color w:val="000000"/>
          <w:lang w:val="ka-GE" w:eastAsia="ru-RU"/>
        </w:rPr>
        <w:t>გამოვლენილი</w:t>
      </w:r>
      <w:r w:rsidR="00EF05A7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ა </w:t>
      </w:r>
      <w:r w:rsidR="00EF05A7">
        <w:rPr>
          <w:rFonts w:ascii="Sylfaen" w:eastAsia="Times New Roman" w:hAnsi="Sylfaen" w:cs="Sylfaen"/>
          <w:b/>
          <w:color w:val="000000"/>
          <w:lang w:val="en-US" w:eastAsia="ru-RU"/>
        </w:rPr>
        <w:t>A</w:t>
      </w:r>
      <w:r w:rsidR="00EF05A7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გრიპის ვირუსები</w:t>
      </w:r>
      <w:r w:rsidR="008C0F7A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საყრდენი ბაზების სინჯებში.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</w:t>
      </w:r>
      <w:r w:rsidR="00EF05A7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გარდა გრიპისა, 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გამოვლენილია რინო, </w:t>
      </w:r>
      <w:r w:rsidR="008C0F7A">
        <w:rPr>
          <w:rFonts w:ascii="Sylfaen" w:eastAsia="Times New Roman" w:hAnsi="Sylfaen" w:cs="Sylfaen"/>
          <w:b/>
          <w:color w:val="000000"/>
          <w:lang w:val="ka-GE" w:eastAsia="ru-RU"/>
        </w:rPr>
        <w:t>მეტაპნევმო, ადენო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და 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>რესპირაციულ-სინციტიური ვირუსით გამოწვეული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შემთხვევები.</w:t>
      </w:r>
      <w:r w:rsidR="008C0F7A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ამასთან, დადებით სინჯებში პრევალირებს</w:t>
      </w:r>
      <w:r w:rsidR="00EF05A7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რესპირატორულ-სინციტიური ვირუსი და მხოლოდ მე-14 კვირის სინჯებში 40,6%-ია. </w:t>
      </w:r>
    </w:p>
    <w:p w:rsidR="008C0F7A" w:rsidRPr="00BB44B3" w:rsidRDefault="008C0F7A" w:rsidP="000D11A8">
      <w:pPr>
        <w:rPr>
          <w:rFonts w:ascii="Sylfaen" w:eastAsia="Times New Roman" w:hAnsi="Sylfaen" w:cs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ამჟამად ევროპის რეგიონის ქვეყნების უმეტესობა აფიქსირებს გრიპის გავრცელების ბაზისურ მაჩვენებლებს და </w:t>
      </w:r>
      <w:r w:rsidRPr="00EF05A7">
        <w:rPr>
          <w:rFonts w:ascii="Sylfaen" w:eastAsia="Times New Roman" w:hAnsi="Sylfaen" w:cs="Sylfaen"/>
          <w:b/>
          <w:color w:val="000000"/>
          <w:lang w:val="ka-GE" w:eastAsia="ru-RU"/>
        </w:rPr>
        <w:t xml:space="preserve">A 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>გრიპის ორივე ქვეტიპის თანაცირკულაციას.</w:t>
      </w:r>
      <w:r w:rsidR="00BB44B3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პრევალირებს </w:t>
      </w:r>
      <w:r w:rsidR="00BB44B3" w:rsidRPr="00EF05A7">
        <w:rPr>
          <w:rFonts w:ascii="Sylfaen" w:eastAsia="Times New Roman" w:hAnsi="Sylfaen" w:cs="Sylfaen"/>
          <w:b/>
          <w:color w:val="000000"/>
          <w:lang w:val="ka-GE" w:eastAsia="ru-RU"/>
        </w:rPr>
        <w:t xml:space="preserve">A(H3N2) </w:t>
      </w:r>
      <w:r w:rsidR="00BB44B3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და გავრცელების მიხედვით მას მოსდევს </w:t>
      </w:r>
      <w:r w:rsidR="00BB44B3" w:rsidRPr="00EF05A7">
        <w:rPr>
          <w:rFonts w:ascii="Sylfaen" w:eastAsia="Times New Roman" w:hAnsi="Sylfaen" w:cs="Sylfaen"/>
          <w:b/>
          <w:color w:val="000000"/>
          <w:lang w:val="ka-GE" w:eastAsia="ru-RU"/>
        </w:rPr>
        <w:t>A(H1N1)pdm09</w:t>
      </w:r>
      <w:r w:rsidR="00BB44B3">
        <w:rPr>
          <w:rFonts w:ascii="Sylfaen" w:eastAsia="Times New Roman" w:hAnsi="Sylfaen" w:cs="Sylfaen"/>
          <w:b/>
          <w:color w:val="000000"/>
          <w:lang w:val="ka-GE" w:eastAsia="ru-RU"/>
        </w:rPr>
        <w:t>.</w:t>
      </w:r>
    </w:p>
    <w:p w:rsidR="00DB611E" w:rsidRPr="00EF05A7" w:rsidRDefault="00DB611E" w:rsidP="000A6DEA">
      <w:pPr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4079DA" w:rsidRPr="001E309E" w:rsidRDefault="004079DA" w:rsidP="004079DA">
      <w:pPr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წითელას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, 2019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="001A7B16">
        <w:rPr>
          <w:rFonts w:ascii="Sylfaen" w:eastAsia="Times New Roman" w:hAnsi="Sylfaen"/>
          <w:b/>
          <w:color w:val="000000"/>
          <w:lang w:val="ka-GE" w:eastAsia="ru-RU"/>
        </w:rPr>
        <w:t xml:space="preserve"> 0</w:t>
      </w:r>
      <w:r w:rsidR="001A7B16">
        <w:rPr>
          <w:rFonts w:ascii="Sylfaen" w:eastAsia="Times New Roman" w:hAnsi="Sylfaen"/>
          <w:b/>
          <w:color w:val="000000"/>
          <w:lang w:val="en-US" w:eastAsia="ru-RU"/>
        </w:rPr>
        <w:t>8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 აპრილი</w:t>
      </w:r>
    </w:p>
    <w:tbl>
      <w:tblPr>
        <w:tblW w:w="159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245"/>
        <w:gridCol w:w="770"/>
        <w:gridCol w:w="866"/>
        <w:gridCol w:w="1199"/>
        <w:gridCol w:w="1113"/>
        <w:gridCol w:w="937"/>
        <w:gridCol w:w="1240"/>
        <w:gridCol w:w="1151"/>
        <w:gridCol w:w="1370"/>
        <w:gridCol w:w="1201"/>
        <w:gridCol w:w="1077"/>
        <w:gridCol w:w="1077"/>
        <w:gridCol w:w="700"/>
      </w:tblGrid>
      <w:tr w:rsidR="004079DA" w:rsidRPr="00391E17" w:rsidTr="0039192A">
        <w:trPr>
          <w:trHeight w:val="764"/>
        </w:trPr>
        <w:tc>
          <w:tcPr>
            <w:tcW w:w="2010" w:type="dxa"/>
            <w:hideMark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1245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866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1199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1113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937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1240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1151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1370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1201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1077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1077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700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1A7B16" w:rsidRPr="00391E17" w:rsidTr="005E54B4">
        <w:trPr>
          <w:trHeight w:val="881"/>
        </w:trPr>
        <w:tc>
          <w:tcPr>
            <w:tcW w:w="2010" w:type="dxa"/>
            <w:hideMark/>
          </w:tcPr>
          <w:p w:rsidR="001A7B16" w:rsidRDefault="001A7B16" w:rsidP="001A7B1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:rsidR="001A7B16" w:rsidRPr="00391E17" w:rsidRDefault="001A7B16" w:rsidP="001A7B1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6-8 აპრილს</w:t>
            </w:r>
          </w:p>
          <w:p w:rsidR="001A7B16" w:rsidRPr="00391E17" w:rsidRDefault="001A7B16" w:rsidP="001A7B16">
            <w:pPr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19</w:t>
            </w:r>
          </w:p>
        </w:tc>
      </w:tr>
      <w:tr w:rsidR="001A7B16" w:rsidRPr="00391E17" w:rsidTr="005E54B4">
        <w:trPr>
          <w:trHeight w:val="679"/>
        </w:trPr>
        <w:tc>
          <w:tcPr>
            <w:tcW w:w="2010" w:type="dxa"/>
            <w:hideMark/>
          </w:tcPr>
          <w:p w:rsidR="001A7B16" w:rsidRPr="00391E17" w:rsidRDefault="001A7B16" w:rsidP="001A7B16">
            <w:pPr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სულ</w:t>
            </w:r>
            <w:proofErr w:type="spellEnd"/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წე</w:t>
            </w:r>
            <w:proofErr w:type="spellEnd"/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1A7B16" w:rsidRPr="00391E17" w:rsidRDefault="001A7B16" w:rsidP="001A7B16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8 აპრილის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ჩათვლით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8</w:t>
            </w: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34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1152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479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70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424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en-US"/>
              </w:rPr>
              <w:t>22</w:t>
            </w:r>
            <w:r>
              <w:rPr>
                <w:rFonts w:ascii="Sylfaen" w:hAnsi="Sylfaen"/>
                <w:b/>
                <w:lang w:val="ka-GE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16" w:rsidRDefault="001A7B16" w:rsidP="001A7B16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2965</w:t>
            </w:r>
          </w:p>
        </w:tc>
      </w:tr>
    </w:tbl>
    <w:p w:rsidR="004079DA" w:rsidRDefault="004079DA" w:rsidP="004079DA">
      <w:pPr>
        <w:jc w:val="center"/>
        <w:rPr>
          <w:rFonts w:ascii="Sylfaen" w:eastAsia="Times New Roman" w:hAnsi="Sylfaen"/>
          <w:b/>
          <w:color w:val="000000"/>
          <w:lang w:eastAsia="ru-RU"/>
        </w:rPr>
      </w:pPr>
    </w:p>
    <w:p w:rsidR="001A7B16" w:rsidRDefault="001A7B16" w:rsidP="004079DA">
      <w:pPr>
        <w:jc w:val="center"/>
        <w:rPr>
          <w:rFonts w:ascii="Sylfaen" w:eastAsia="Times New Roman" w:hAnsi="Sylfaen"/>
          <w:b/>
          <w:color w:val="000000"/>
          <w:lang w:eastAsia="ru-RU"/>
        </w:rPr>
      </w:pPr>
    </w:p>
    <w:p w:rsidR="001A7B16" w:rsidRDefault="001A7B16" w:rsidP="004079DA">
      <w:pPr>
        <w:jc w:val="center"/>
        <w:rPr>
          <w:rFonts w:ascii="Sylfaen" w:eastAsia="Times New Roman" w:hAnsi="Sylfaen"/>
          <w:b/>
          <w:color w:val="000000"/>
          <w:lang w:eastAsia="ru-RU"/>
        </w:rPr>
      </w:pPr>
    </w:p>
    <w:p w:rsidR="001A7B16" w:rsidRDefault="001A7B16" w:rsidP="004079DA">
      <w:pPr>
        <w:jc w:val="center"/>
        <w:rPr>
          <w:rFonts w:ascii="Sylfaen" w:eastAsia="Times New Roman" w:hAnsi="Sylfaen"/>
          <w:b/>
          <w:color w:val="000000"/>
          <w:lang w:eastAsia="ru-RU"/>
        </w:rPr>
      </w:pPr>
    </w:p>
    <w:p w:rsidR="001A7B16" w:rsidRDefault="001A7B16" w:rsidP="004079DA">
      <w:pPr>
        <w:jc w:val="center"/>
        <w:rPr>
          <w:rFonts w:ascii="Sylfaen" w:eastAsia="Times New Roman" w:hAnsi="Sylfaen"/>
          <w:b/>
          <w:color w:val="000000"/>
          <w:lang w:eastAsia="ru-RU"/>
        </w:rPr>
      </w:pPr>
    </w:p>
    <w:p w:rsidR="004079DA" w:rsidRPr="00033502" w:rsidRDefault="004079DA" w:rsidP="004079DA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proofErr w:type="spellStart"/>
      <w:proofErr w:type="gramStart"/>
      <w:r>
        <w:rPr>
          <w:rFonts w:ascii="Sylfaen" w:eastAsia="Times New Roman" w:hAnsi="Sylfaen"/>
          <w:b/>
          <w:color w:val="000000"/>
          <w:lang w:eastAsia="ru-RU"/>
        </w:rPr>
        <w:lastRenderedPageBreak/>
        <w:t>ასაკობრივი</w:t>
      </w:r>
      <w:proofErr w:type="spellEnd"/>
      <w:proofErr w:type="gram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  <w:r>
        <w:rPr>
          <w:rFonts w:ascii="Sylfaen" w:eastAsia="Times New Roman" w:hAnsi="Sylfaen"/>
          <w:b/>
          <w:color w:val="000000"/>
          <w:lang w:val="ka-GE" w:eastAsia="ru-RU"/>
        </w:rPr>
        <w:t xml:space="preserve">  საქართველოში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, 2019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="001A7B16">
        <w:rPr>
          <w:rFonts w:ascii="Sylfaen" w:eastAsia="Times New Roman" w:hAnsi="Sylfaen"/>
          <w:b/>
          <w:color w:val="000000"/>
          <w:lang w:val="ka-GE" w:eastAsia="ru-RU"/>
        </w:rPr>
        <w:t xml:space="preserve"> 8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 აპრილი</w:t>
      </w:r>
    </w:p>
    <w:p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tbl>
      <w:tblPr>
        <w:tblW w:w="5546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  <w:gridCol w:w="1134"/>
      </w:tblGrid>
      <w:tr w:rsidR="001A7B16" w:rsidRPr="00391E17" w:rsidTr="001A7B16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16" w:rsidRDefault="001A7B16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1A7B16" w:rsidRPr="00391E17" w:rsidRDefault="001A7B16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16" w:rsidRPr="00391E17" w:rsidRDefault="001A7B16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:rsidR="001A7B16" w:rsidRPr="004C5229" w:rsidRDefault="001A7B16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 xml:space="preserve"> საქართველოში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16" w:rsidRPr="00391E17" w:rsidRDefault="001A7B16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7B16" w:rsidRPr="00391E17" w:rsidRDefault="001A7B16" w:rsidP="001A7B16">
            <w:pPr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1A7B16">
              <w:rPr>
                <w:rFonts w:ascii="Sylfaen" w:eastAsia="Times New Roman" w:hAnsi="Sylfaen"/>
                <w:b/>
                <w:color w:val="000000"/>
                <w:lang w:eastAsia="ru-RU"/>
              </w:rPr>
              <w:t>ასაკ-სპეციფიკური</w:t>
            </w:r>
            <w:proofErr w:type="spellEnd"/>
            <w:r w:rsidRPr="001A7B16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color w:val="000000"/>
                <w:lang w:eastAsia="ru-RU"/>
              </w:rPr>
              <w:t>ინციდენტობა</w:t>
            </w:r>
            <w:proofErr w:type="spellEnd"/>
            <w:r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(100 000 </w:t>
            </w:r>
            <w:proofErr w:type="spellStart"/>
            <w:r>
              <w:rPr>
                <w:rFonts w:ascii="Sylfaen" w:eastAsia="Times New Roman" w:hAnsi="Sylfaen"/>
                <w:b/>
                <w:color w:val="000000"/>
                <w:lang w:eastAsia="ru-RU"/>
              </w:rPr>
              <w:t>მოსახლეზე</w:t>
            </w:r>
            <w:proofErr w:type="spellEnd"/>
            <w:r>
              <w:rPr>
                <w:rFonts w:ascii="Sylfaen" w:eastAsia="Times New Roman" w:hAnsi="Sylfaen"/>
                <w:b/>
                <w:color w:val="000000"/>
                <w:lang w:eastAsia="ru-RU"/>
              </w:rPr>
              <w:t>)</w:t>
            </w:r>
          </w:p>
        </w:tc>
      </w:tr>
      <w:tr w:rsidR="001A7B16" w:rsidRPr="00E10BB7" w:rsidTr="001A7B16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16" w:rsidRPr="00391E17" w:rsidRDefault="001A7B16" w:rsidP="001A7B1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7B16" w:rsidRPr="00F65BA1" w:rsidRDefault="001A7B16" w:rsidP="001A7B16">
            <w:r w:rsidRPr="00F65BA1">
              <w:t>648.5</w:t>
            </w:r>
          </w:p>
        </w:tc>
      </w:tr>
      <w:tr w:rsidR="001A7B16" w:rsidRPr="00391E17" w:rsidTr="001A7B16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16" w:rsidRPr="00391E17" w:rsidRDefault="001A7B16" w:rsidP="001A7B1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en-US" w:eastAsia="ru-RU"/>
              </w:rPr>
              <w:t>44</w:t>
            </w:r>
            <w:r>
              <w:rPr>
                <w:rFonts w:ascii="Sylfaen" w:eastAsia="Times New Roman" w:hAnsi="Sylfaen"/>
                <w:lang w:val="ka-GE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B16" w:rsidRPr="00F65BA1" w:rsidRDefault="001A7B16" w:rsidP="001A7B16">
            <w:r w:rsidRPr="00F65BA1">
              <w:t>197.3</w:t>
            </w:r>
          </w:p>
        </w:tc>
      </w:tr>
      <w:tr w:rsidR="001A7B16" w:rsidRPr="00391E17" w:rsidTr="001A7B16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16" w:rsidRPr="00391E17" w:rsidRDefault="001A7B16" w:rsidP="001A7B1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B16" w:rsidRPr="00F65BA1" w:rsidRDefault="001A7B16" w:rsidP="001A7B16">
            <w:r w:rsidRPr="00F65BA1">
              <w:t>67.7</w:t>
            </w:r>
          </w:p>
        </w:tc>
      </w:tr>
      <w:tr w:rsidR="001A7B16" w:rsidRPr="00391E17" w:rsidTr="001A7B16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16" w:rsidRPr="00391E17" w:rsidRDefault="001A7B16" w:rsidP="001A7B1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7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B16" w:rsidRPr="00F65BA1" w:rsidRDefault="001A7B16" w:rsidP="001A7B16">
            <w:r w:rsidRPr="00F65BA1">
              <w:t>101.2</w:t>
            </w:r>
          </w:p>
        </w:tc>
      </w:tr>
      <w:tr w:rsidR="001A7B16" w:rsidRPr="00391E17" w:rsidTr="001A7B16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16" w:rsidRPr="00391E17" w:rsidRDefault="001A7B16" w:rsidP="001A7B1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B16" w:rsidRPr="00F65BA1" w:rsidRDefault="001A7B16" w:rsidP="001A7B16">
            <w:r w:rsidRPr="00F65BA1">
              <w:t>141.4</w:t>
            </w:r>
          </w:p>
        </w:tc>
      </w:tr>
      <w:tr w:rsidR="001A7B16" w:rsidRPr="00391E17" w:rsidTr="001A7B16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16" w:rsidRPr="00324795" w:rsidRDefault="001A7B16" w:rsidP="001A7B16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</w:t>
            </w: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B16" w:rsidRPr="00F65BA1" w:rsidRDefault="001A7B16" w:rsidP="001A7B16">
            <w:r w:rsidRPr="00F65BA1">
              <w:t>134.1</w:t>
            </w:r>
          </w:p>
        </w:tc>
      </w:tr>
      <w:tr w:rsidR="001A7B16" w:rsidRPr="00391E17" w:rsidTr="001A7B16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16" w:rsidRPr="00391E17" w:rsidRDefault="001A7B16" w:rsidP="001A7B1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6</w:t>
            </w:r>
            <w:r w:rsidRPr="00391E17">
              <w:rPr>
                <w:rFonts w:eastAsia="Times New Roman"/>
                <w:b/>
                <w:color w:val="000000"/>
                <w:lang w:eastAsia="ru-RU"/>
              </w:rPr>
              <w:t>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B16" w:rsidRPr="00F65BA1" w:rsidRDefault="001A7B16" w:rsidP="001A7B16">
            <w:r w:rsidRPr="00F65BA1">
              <w:t>13.7</w:t>
            </w:r>
          </w:p>
        </w:tc>
      </w:tr>
      <w:tr w:rsidR="001A7B16" w:rsidRPr="00391E17" w:rsidTr="001A7B16">
        <w:trPr>
          <w:trHeight w:val="6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16" w:rsidRPr="002046FB" w:rsidRDefault="001A7B16" w:rsidP="001A7B16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2965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B16" w:rsidRDefault="001A7B16" w:rsidP="001A7B1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lang w:val="ru-RU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B16" w:rsidRDefault="001A7B16" w:rsidP="001A7B16">
            <w:r w:rsidRPr="00F65BA1">
              <w:t>79.5</w:t>
            </w:r>
          </w:p>
        </w:tc>
      </w:tr>
    </w:tbl>
    <w:p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p w:rsidR="004079DA" w:rsidRDefault="001A7B16" w:rsidP="004079DA">
      <w:pPr>
        <w:jc w:val="center"/>
        <w:rPr>
          <w:rFonts w:ascii="Sylfaen" w:hAnsi="Sylfaen"/>
          <w:b/>
          <w:lang w:val="ka-GE"/>
        </w:rPr>
      </w:pPr>
      <w:r>
        <w:rPr>
          <w:noProof/>
          <w:lang w:val="en-US"/>
        </w:rPr>
        <w:lastRenderedPageBreak/>
        <w:drawing>
          <wp:inline distT="0" distB="0" distL="0" distR="0" wp14:anchorId="74B9BE1F" wp14:editId="14BF99A2">
            <wp:extent cx="9251950" cy="3997960"/>
            <wp:effectExtent l="0" t="0" r="6350" b="25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p w:rsidR="004079DA" w:rsidRDefault="004079DA" w:rsidP="004079D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</w:t>
      </w:r>
      <w:r w:rsidR="0039192A">
        <w:rPr>
          <w:rFonts w:ascii="Sylfaen" w:hAnsi="Sylfaen"/>
          <w:b/>
          <w:lang w:val="ka-GE"/>
        </w:rPr>
        <w:t>-14</w:t>
      </w:r>
      <w:r>
        <w:rPr>
          <w:rFonts w:ascii="Sylfaen" w:hAnsi="Sylfaen"/>
          <w:b/>
          <w:lang w:val="ka-GE"/>
        </w:rPr>
        <w:t xml:space="preserve"> კალენდარული კვირის მონაცემები არასრულია, თუმცა წითელას შემთხვევების კლების ტენდენცია სტაბილურია.</w:t>
      </w:r>
    </w:p>
    <w:p w:rsidR="004079DA" w:rsidRDefault="004079DA" w:rsidP="004079DA">
      <w:pPr>
        <w:pStyle w:val="xxxx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Sylfaen" w:hAnsi="Sylfaen"/>
          <w:b/>
          <w:bCs/>
          <w:color w:val="212121"/>
          <w:lang w:val="ka-GE"/>
        </w:rPr>
        <w:t>არაგეგმიური იმუნიზაციით, წწყ ვაქცინით 19 იანვრიდან  </w:t>
      </w:r>
      <w:r w:rsidR="001A7B16">
        <w:rPr>
          <w:rFonts w:ascii="Sylfaen" w:hAnsi="Sylfaen"/>
          <w:b/>
          <w:bCs/>
          <w:color w:val="212121"/>
        </w:rPr>
        <w:t xml:space="preserve">5 </w:t>
      </w:r>
      <w:r w:rsidR="001A7B16">
        <w:rPr>
          <w:rFonts w:ascii="Sylfaen" w:hAnsi="Sylfaen"/>
          <w:b/>
          <w:bCs/>
          <w:color w:val="212121"/>
          <w:lang w:val="ka-GE"/>
        </w:rPr>
        <w:t>აპრილის</w:t>
      </w:r>
      <w:r>
        <w:rPr>
          <w:rFonts w:ascii="Calibri" w:hAnsi="Calibri" w:cs="Calibri"/>
          <w:b/>
          <w:bCs/>
          <w:color w:val="212121"/>
        </w:rPr>
        <w:t>  </w:t>
      </w:r>
      <w:proofErr w:type="spellStart"/>
      <w:r>
        <w:rPr>
          <w:rFonts w:ascii="Sylfaen" w:hAnsi="Sylfaen"/>
          <w:b/>
          <w:bCs/>
          <w:color w:val="212121"/>
        </w:rPr>
        <w:t>ჩათვლით</w:t>
      </w:r>
      <w:proofErr w:type="spellEnd"/>
      <w:r>
        <w:rPr>
          <w:rFonts w:ascii="Calibri" w:hAnsi="Calibri" w:cs="Calibri"/>
          <w:b/>
          <w:bCs/>
          <w:color w:val="212121"/>
        </w:rPr>
        <w:t> </w:t>
      </w:r>
      <w:proofErr w:type="spellStart"/>
      <w:r>
        <w:rPr>
          <w:rFonts w:ascii="Sylfaen" w:hAnsi="Sylfaen"/>
          <w:b/>
          <w:bCs/>
          <w:color w:val="212121"/>
        </w:rPr>
        <w:t>სულ</w:t>
      </w:r>
      <w:proofErr w:type="spellEnd"/>
      <w:r>
        <w:rPr>
          <w:rFonts w:ascii="Calibri" w:hAnsi="Calibri" w:cs="Calibri"/>
          <w:b/>
          <w:bCs/>
          <w:color w:val="212121"/>
        </w:rPr>
        <w:t> </w:t>
      </w:r>
      <w:proofErr w:type="spellStart"/>
      <w:r>
        <w:rPr>
          <w:rFonts w:ascii="Sylfaen" w:hAnsi="Sylfaen"/>
          <w:b/>
          <w:bCs/>
          <w:color w:val="212121"/>
        </w:rPr>
        <w:t>აცრილია</w:t>
      </w:r>
      <w:proofErr w:type="spellEnd"/>
      <w:r>
        <w:rPr>
          <w:rFonts w:ascii="Calibri" w:hAnsi="Calibri" w:cs="Calibri"/>
          <w:b/>
          <w:bCs/>
          <w:color w:val="212121"/>
        </w:rPr>
        <w:t xml:space="preserve">  </w:t>
      </w:r>
      <w:r w:rsidR="0039192A">
        <w:rPr>
          <w:rFonts w:ascii="Sylfaen" w:hAnsi="Sylfaen" w:cs="Calibri"/>
          <w:b/>
          <w:bCs/>
          <w:color w:val="212121"/>
          <w:lang w:val="ka-GE"/>
        </w:rPr>
        <w:t>114950</w:t>
      </w:r>
      <w:r>
        <w:rPr>
          <w:rFonts w:ascii="Calibri" w:hAnsi="Calibri" w:cs="Calibri"/>
          <w:b/>
          <w:bCs/>
          <w:color w:val="212121"/>
        </w:rPr>
        <w:t> </w:t>
      </w:r>
      <w:proofErr w:type="spellStart"/>
      <w:r>
        <w:rPr>
          <w:rFonts w:ascii="Sylfaen" w:hAnsi="Sylfaen"/>
          <w:b/>
          <w:bCs/>
          <w:color w:val="212121"/>
        </w:rPr>
        <w:t>პირი</w:t>
      </w:r>
      <w:proofErr w:type="spellEnd"/>
      <w:r>
        <w:rPr>
          <w:rFonts w:ascii="Calibri" w:hAnsi="Calibri" w:cs="Calibri"/>
          <w:b/>
          <w:bCs/>
          <w:color w:val="212121"/>
        </w:rPr>
        <w:t>.</w:t>
      </w:r>
    </w:p>
    <w:p w:rsidR="004079DA" w:rsidRDefault="004079DA" w:rsidP="004079DA">
      <w:pPr>
        <w:pStyle w:val="xxxx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Calibri" w:hAnsi="Calibri" w:cs="Calibri"/>
          <w:color w:val="000000"/>
        </w:rPr>
        <w:t> </w:t>
      </w:r>
    </w:p>
    <w:p w:rsidR="004079DA" w:rsidRDefault="004079DA" w:rsidP="003F35D5">
      <w:pPr>
        <w:pStyle w:val="xxxxxmsonormal0"/>
        <w:shd w:val="clear" w:color="auto" w:fill="FFFFFF"/>
        <w:rPr>
          <w:rFonts w:ascii="Sylfaen" w:hAnsi="Sylfaen"/>
          <w:color w:val="212121"/>
        </w:rPr>
      </w:pPr>
      <w:proofErr w:type="spellStart"/>
      <w:r>
        <w:rPr>
          <w:rFonts w:ascii="Sylfaen" w:hAnsi="Sylfaen"/>
          <w:color w:val="212121"/>
        </w:rPr>
        <w:t>მათ</w:t>
      </w:r>
      <w:proofErr w:type="spellEnd"/>
      <w:r>
        <w:rPr>
          <w:rFonts w:ascii="Calibri" w:hAnsi="Calibri" w:cs="Calibri"/>
          <w:color w:val="212121"/>
        </w:rPr>
        <w:t> </w:t>
      </w:r>
      <w:proofErr w:type="spellStart"/>
      <w:r>
        <w:rPr>
          <w:rFonts w:ascii="Sylfaen" w:hAnsi="Sylfaen"/>
          <w:color w:val="212121"/>
        </w:rPr>
        <w:t>შორის</w:t>
      </w:r>
      <w:proofErr w:type="spellEnd"/>
      <w:r>
        <w:rPr>
          <w:rFonts w:ascii="Sylfaen" w:hAnsi="Sylfaen" w:cs="Calibri"/>
          <w:color w:val="212121"/>
          <w:lang w:val="ka-GE"/>
        </w:rPr>
        <w:t xml:space="preserve">: </w:t>
      </w:r>
      <w:proofErr w:type="spellStart"/>
      <w:r>
        <w:rPr>
          <w:rFonts w:ascii="Sylfaen" w:hAnsi="Sylfaen"/>
          <w:color w:val="212121"/>
        </w:rPr>
        <w:t>თბილისი</w:t>
      </w:r>
      <w:proofErr w:type="spellEnd"/>
      <w:r>
        <w:rPr>
          <w:rFonts w:ascii="Calibri" w:hAnsi="Calibri" w:cs="Calibri"/>
          <w:color w:val="212121"/>
        </w:rPr>
        <w:t> - </w:t>
      </w:r>
      <w:r w:rsidR="003F35D5">
        <w:rPr>
          <w:rFonts w:ascii="Sylfaen" w:hAnsi="Sylfaen" w:cs="Calibri"/>
          <w:color w:val="212121"/>
          <w:lang w:val="ka-GE"/>
        </w:rPr>
        <w:t>44909</w:t>
      </w:r>
      <w:r>
        <w:rPr>
          <w:rFonts w:ascii="Sylfaen" w:hAnsi="Sylfaen"/>
          <w:color w:val="212121"/>
          <w:lang w:val="ka-GE"/>
        </w:rPr>
        <w:t>; აჭარა -7</w:t>
      </w:r>
      <w:r w:rsidR="003F35D5">
        <w:rPr>
          <w:rFonts w:ascii="Sylfaen" w:hAnsi="Sylfaen"/>
          <w:color w:val="212121"/>
        </w:rPr>
        <w:t>852</w:t>
      </w:r>
      <w:r>
        <w:rPr>
          <w:rFonts w:ascii="Sylfaen" w:hAnsi="Sylfaen"/>
          <w:color w:val="212121"/>
          <w:lang w:val="ka-GE"/>
        </w:rPr>
        <w:t>; იმერეთი -12</w:t>
      </w:r>
      <w:r w:rsidR="003F35D5">
        <w:rPr>
          <w:rFonts w:ascii="Sylfaen" w:hAnsi="Sylfaen"/>
          <w:color w:val="212121"/>
        </w:rPr>
        <w:t>668</w:t>
      </w:r>
      <w:r>
        <w:rPr>
          <w:rFonts w:ascii="Sylfaen" w:hAnsi="Sylfaen"/>
          <w:color w:val="212121"/>
          <w:lang w:val="ka-GE"/>
        </w:rPr>
        <w:t>; სამეგრელო- 1</w:t>
      </w:r>
      <w:r w:rsidR="003F35D5">
        <w:rPr>
          <w:rFonts w:ascii="Sylfaen" w:hAnsi="Sylfaen"/>
          <w:color w:val="212121"/>
        </w:rPr>
        <w:t>1050</w:t>
      </w:r>
      <w:r>
        <w:rPr>
          <w:rFonts w:ascii="Sylfaen" w:hAnsi="Sylfaen"/>
          <w:color w:val="212121"/>
          <w:lang w:val="ka-GE"/>
        </w:rPr>
        <w:t>; გურია -3</w:t>
      </w:r>
      <w:r w:rsidR="003F35D5">
        <w:rPr>
          <w:rFonts w:ascii="Sylfaen" w:hAnsi="Sylfaen"/>
          <w:color w:val="212121"/>
        </w:rPr>
        <w:t>811</w:t>
      </w:r>
      <w:r>
        <w:rPr>
          <w:rFonts w:ascii="Sylfaen" w:hAnsi="Sylfaen"/>
          <w:color w:val="212121"/>
          <w:lang w:val="ka-GE"/>
        </w:rPr>
        <w:t>; შიდა ქართლი -5</w:t>
      </w:r>
      <w:r w:rsidR="003F35D5">
        <w:rPr>
          <w:rFonts w:ascii="Sylfaen" w:hAnsi="Sylfaen"/>
          <w:color w:val="212121"/>
        </w:rPr>
        <w:t>568</w:t>
      </w:r>
      <w:r>
        <w:rPr>
          <w:rFonts w:ascii="Sylfaen" w:hAnsi="Sylfaen"/>
          <w:color w:val="212121"/>
          <w:lang w:val="ka-GE"/>
        </w:rPr>
        <w:t>; ქვემო ქართლი -</w:t>
      </w:r>
      <w:r w:rsidR="003F35D5">
        <w:rPr>
          <w:rFonts w:ascii="Sylfaen" w:hAnsi="Sylfaen"/>
          <w:color w:val="212121"/>
        </w:rPr>
        <w:t>7207</w:t>
      </w:r>
      <w:r>
        <w:rPr>
          <w:rFonts w:ascii="Sylfaen" w:hAnsi="Sylfaen"/>
          <w:color w:val="212121"/>
          <w:lang w:val="ka-GE"/>
        </w:rPr>
        <w:t>; სამცხე-ჯავახეთი -</w:t>
      </w:r>
      <w:r>
        <w:rPr>
          <w:rFonts w:ascii="Sylfaen" w:hAnsi="Sylfaen"/>
          <w:color w:val="212121"/>
        </w:rPr>
        <w:t>7</w:t>
      </w:r>
      <w:r w:rsidR="003F35D5">
        <w:rPr>
          <w:rFonts w:ascii="Sylfaen" w:hAnsi="Sylfaen"/>
          <w:color w:val="212121"/>
        </w:rPr>
        <w:t>726</w:t>
      </w:r>
      <w:r>
        <w:rPr>
          <w:rFonts w:ascii="Sylfaen" w:hAnsi="Sylfaen"/>
          <w:color w:val="212121"/>
          <w:lang w:val="ka-GE"/>
        </w:rPr>
        <w:t>; რაჭა-ლეჩხუმი ქვემო სვანეთი -1</w:t>
      </w:r>
      <w:r w:rsidR="003F35D5">
        <w:rPr>
          <w:rFonts w:ascii="Sylfaen" w:hAnsi="Sylfaen"/>
          <w:color w:val="212121"/>
        </w:rPr>
        <w:t>511</w:t>
      </w:r>
      <w:r>
        <w:rPr>
          <w:rFonts w:ascii="Sylfaen" w:hAnsi="Sylfaen"/>
          <w:color w:val="212121"/>
          <w:lang w:val="ka-GE"/>
        </w:rPr>
        <w:t>; მცხეთა მთიანეთი - 2</w:t>
      </w:r>
      <w:r w:rsidR="003F35D5">
        <w:rPr>
          <w:rFonts w:ascii="Sylfaen" w:hAnsi="Sylfaen"/>
          <w:color w:val="212121"/>
        </w:rPr>
        <w:t>850</w:t>
      </w:r>
      <w:r>
        <w:rPr>
          <w:rFonts w:ascii="Sylfaen" w:hAnsi="Sylfaen"/>
          <w:color w:val="212121"/>
          <w:lang w:val="ka-GE"/>
        </w:rPr>
        <w:t>; კახეთი- 9</w:t>
      </w:r>
      <w:r w:rsidR="003F35D5">
        <w:rPr>
          <w:rFonts w:ascii="Sylfaen" w:hAnsi="Sylfaen"/>
          <w:color w:val="212121"/>
        </w:rPr>
        <w:t>798</w:t>
      </w:r>
      <w:r>
        <w:rPr>
          <w:rFonts w:ascii="Sylfaen" w:hAnsi="Sylfaen"/>
          <w:color w:val="212121"/>
          <w:lang w:val="ka-GE"/>
        </w:rPr>
        <w:t>.</w:t>
      </w:r>
      <w:r w:rsidR="003F35D5">
        <w:rPr>
          <w:rFonts w:ascii="Sylfaen" w:hAnsi="Sylfaen"/>
          <w:color w:val="212121"/>
        </w:rPr>
        <w:t xml:space="preserve"> </w:t>
      </w:r>
    </w:p>
    <w:p w:rsidR="005E54B4" w:rsidRDefault="005E54B4" w:rsidP="003F35D5">
      <w:pPr>
        <w:pStyle w:val="xxxxxmsonormal0"/>
        <w:shd w:val="clear" w:color="auto" w:fill="FFFFFF"/>
        <w:rPr>
          <w:rFonts w:ascii="Sylfaen" w:hAnsi="Sylfaen"/>
          <w:color w:val="212121"/>
        </w:rPr>
      </w:pPr>
    </w:p>
    <w:p w:rsidR="005E54B4" w:rsidRDefault="005E54B4" w:rsidP="003F35D5">
      <w:pPr>
        <w:pStyle w:val="xxxxxmsonormal0"/>
        <w:shd w:val="clear" w:color="auto" w:fill="FFFFFF"/>
        <w:rPr>
          <w:rFonts w:ascii="Sylfaen" w:hAnsi="Sylfaen"/>
          <w:color w:val="212121"/>
          <w:lang w:val="ka-GE"/>
        </w:rPr>
      </w:pPr>
      <w:proofErr w:type="gramStart"/>
      <w:r w:rsidRPr="002B6C7E">
        <w:rPr>
          <w:rFonts w:ascii="Sylfaen" w:hAnsi="Sylfaen"/>
          <w:b/>
          <w:color w:val="212121"/>
        </w:rPr>
        <w:t xml:space="preserve">2 </w:t>
      </w:r>
      <w:r w:rsidRPr="002B6C7E">
        <w:rPr>
          <w:rFonts w:ascii="Sylfaen" w:hAnsi="Sylfaen"/>
          <w:b/>
          <w:color w:val="212121"/>
          <w:lang w:val="ka-GE"/>
        </w:rPr>
        <w:t>აპრილს, თელავის რაიონის სოფელ ბუშეტის საბავშვო ბაღში</w:t>
      </w:r>
      <w:r>
        <w:rPr>
          <w:rFonts w:ascii="Sylfaen" w:hAnsi="Sylfaen"/>
          <w:color w:val="212121"/>
          <w:lang w:val="ka-GE"/>
        </w:rPr>
        <w:t xml:space="preserve"> დღის 12 საათიდან აღსაზრდელთა შორის დაიწყო   ეპიდაფეთქება.</w:t>
      </w:r>
      <w:proofErr w:type="gramEnd"/>
      <w:r>
        <w:rPr>
          <w:rFonts w:ascii="Sylfaen" w:hAnsi="Sylfaen"/>
          <w:color w:val="212121"/>
          <w:lang w:val="ka-GE"/>
        </w:rPr>
        <w:t xml:space="preserve"> 32 აღსაზრდელიდან, როელიც ესწრებოდა სააღმზრდელო პროცესს,  23-ს მომდევნო 8 საათის განმავლობაში განუვითარდა მრავალჯერადი ღებინება, რის გამოც ისინი ჰოსპიტალიზებულ იქნენ თელავის საავადმყოფოებში. ჩატარებული მკურნალობის </w:t>
      </w:r>
      <w:r>
        <w:rPr>
          <w:rFonts w:ascii="Sylfaen" w:hAnsi="Sylfaen"/>
          <w:color w:val="212121"/>
          <w:lang w:val="ka-GE"/>
        </w:rPr>
        <w:lastRenderedPageBreak/>
        <w:t>ფონზე მდგომარეობა სწრაფად გაუმჯობესდა და 24 საათის შემდგომ ყველა გაეწერა დამაკმაყოფილებელ მდგომარეობაში. დადგინდა, რომ აღსაზრდელთა დაავადებამდე 2 დღის განმავლობაში ბაღს შეწყვეტილი ჰქონდა წყალმომარაგება ლოკალური დაზიანების გამო. დაავადების დღეს სასმელი წყალი აღნიშნული წყალსადენიდან გამოყენებულ იქნა ბაღის აღსაზრდელთა და აღმზრდელთა მიერ, თუმცა აღმზრდელთა შორის მსგავსი კლინიკით ავად არავინ გამხდარა.</w:t>
      </w:r>
    </w:p>
    <w:p w:rsidR="004079DA" w:rsidRDefault="005E54B4" w:rsidP="005E54B4">
      <w:pPr>
        <w:pStyle w:val="xxxxxmsonormal0"/>
        <w:shd w:val="clear" w:color="auto" w:fill="FFFFFF"/>
        <w:rPr>
          <w:rFonts w:ascii="Sylfaen" w:hAnsi="Sylfaen"/>
          <w:color w:val="212121"/>
          <w:lang w:val="ka-GE"/>
        </w:rPr>
      </w:pPr>
      <w:r>
        <w:rPr>
          <w:rFonts w:ascii="Sylfaen" w:hAnsi="Sylfaen"/>
          <w:color w:val="212121"/>
          <w:lang w:val="ka-GE"/>
        </w:rPr>
        <w:t xml:space="preserve">საკვებად გამოყენებული პროდუქტები და სასმელი წყალი შესწავლილ იქნა სურსათის ეროვნული სააგენტოს მიერ და </w:t>
      </w:r>
      <w:r w:rsidR="002B6C7E">
        <w:rPr>
          <w:rFonts w:ascii="Sylfaen" w:hAnsi="Sylfaen"/>
          <w:color w:val="212121"/>
          <w:lang w:val="ka-GE"/>
        </w:rPr>
        <w:t>პათოგენური მიკროორგანიზმებით დაბინძურება გამოვლენილი არ არის.</w:t>
      </w:r>
    </w:p>
    <w:p w:rsidR="002B6C7E" w:rsidRPr="005E54B4" w:rsidRDefault="002B6C7E" w:rsidP="005E54B4">
      <w:pPr>
        <w:pStyle w:val="xxxxxmsonormal0"/>
        <w:shd w:val="clear" w:color="auto" w:fill="FFFFFF"/>
        <w:rPr>
          <w:rFonts w:ascii="Calibri" w:hAnsi="Calibri" w:cs="Calibri"/>
          <w:color w:val="000000"/>
          <w:lang w:val="ka-GE"/>
        </w:rPr>
      </w:pPr>
      <w:r>
        <w:rPr>
          <w:rFonts w:ascii="Sylfaen" w:hAnsi="Sylfaen"/>
          <w:color w:val="212121"/>
          <w:lang w:val="ka-GE"/>
        </w:rPr>
        <w:t>აღსაზრდელთაგან აღებული სინჯების ლაბორატორიული კვლევა ვირუსულ გამომწვევებზე დასრულდა, როტა, ნორო, ადენო ვირუსების ანტიგენები არ არის იდენტიფიცირებული. ბატერიოლოგიური კვლევები გრძელდება. შედეგებ</w:t>
      </w:r>
      <w:bookmarkStart w:id="0" w:name="_GoBack"/>
      <w:bookmarkEnd w:id="0"/>
      <w:r>
        <w:rPr>
          <w:rFonts w:ascii="Sylfaen" w:hAnsi="Sylfaen"/>
          <w:color w:val="212121"/>
          <w:lang w:val="ka-GE"/>
        </w:rPr>
        <w:t>ს წარმოგიდგენთ დამატებით.</w:t>
      </w:r>
    </w:p>
    <w:p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p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sectPr w:rsidR="004079DA" w:rsidSect="00B64C72">
      <w:pgSz w:w="16838" w:h="11906" w:orient="landscape"/>
      <w:pgMar w:top="90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7165"/>
    <w:multiLevelType w:val="multilevel"/>
    <w:tmpl w:val="BD342DA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8"/>
    <w:rsid w:val="00012A4D"/>
    <w:rsid w:val="00017C94"/>
    <w:rsid w:val="000254B4"/>
    <w:rsid w:val="00033502"/>
    <w:rsid w:val="000350F3"/>
    <w:rsid w:val="00046431"/>
    <w:rsid w:val="00053818"/>
    <w:rsid w:val="0006366C"/>
    <w:rsid w:val="00066C12"/>
    <w:rsid w:val="000675BD"/>
    <w:rsid w:val="00071F88"/>
    <w:rsid w:val="00087FBD"/>
    <w:rsid w:val="000A6DEA"/>
    <w:rsid w:val="000C65E2"/>
    <w:rsid w:val="000C7C5A"/>
    <w:rsid w:val="000D11A8"/>
    <w:rsid w:val="000D12CD"/>
    <w:rsid w:val="000D7306"/>
    <w:rsid w:val="000E1C32"/>
    <w:rsid w:val="000E21AD"/>
    <w:rsid w:val="000E69EA"/>
    <w:rsid w:val="0012036A"/>
    <w:rsid w:val="00120B3D"/>
    <w:rsid w:val="00133BDF"/>
    <w:rsid w:val="00141A4E"/>
    <w:rsid w:val="00141E99"/>
    <w:rsid w:val="00150FC2"/>
    <w:rsid w:val="00153238"/>
    <w:rsid w:val="0015749D"/>
    <w:rsid w:val="00164D76"/>
    <w:rsid w:val="001665CC"/>
    <w:rsid w:val="0017795B"/>
    <w:rsid w:val="00195634"/>
    <w:rsid w:val="001A4398"/>
    <w:rsid w:val="001A7B16"/>
    <w:rsid w:val="001B72CE"/>
    <w:rsid w:val="001C0FD5"/>
    <w:rsid w:val="001D5406"/>
    <w:rsid w:val="001E065F"/>
    <w:rsid w:val="001E1564"/>
    <w:rsid w:val="001E309E"/>
    <w:rsid w:val="0021654A"/>
    <w:rsid w:val="00242408"/>
    <w:rsid w:val="0025279E"/>
    <w:rsid w:val="00263083"/>
    <w:rsid w:val="00266CD2"/>
    <w:rsid w:val="002723AA"/>
    <w:rsid w:val="00290792"/>
    <w:rsid w:val="002B16A2"/>
    <w:rsid w:val="002B6C7E"/>
    <w:rsid w:val="002C2193"/>
    <w:rsid w:val="002D48AB"/>
    <w:rsid w:val="002D68BF"/>
    <w:rsid w:val="002D708B"/>
    <w:rsid w:val="002E10B9"/>
    <w:rsid w:val="002E2EA8"/>
    <w:rsid w:val="0030226F"/>
    <w:rsid w:val="003103CF"/>
    <w:rsid w:val="00315262"/>
    <w:rsid w:val="003207E9"/>
    <w:rsid w:val="00324795"/>
    <w:rsid w:val="00325D70"/>
    <w:rsid w:val="00326A42"/>
    <w:rsid w:val="00326F07"/>
    <w:rsid w:val="00330AE7"/>
    <w:rsid w:val="00352FFF"/>
    <w:rsid w:val="0035431D"/>
    <w:rsid w:val="00367862"/>
    <w:rsid w:val="0037172D"/>
    <w:rsid w:val="00372550"/>
    <w:rsid w:val="0039192A"/>
    <w:rsid w:val="003A0EF3"/>
    <w:rsid w:val="003D5D3E"/>
    <w:rsid w:val="003E016C"/>
    <w:rsid w:val="003E34BA"/>
    <w:rsid w:val="003F35D5"/>
    <w:rsid w:val="004023AD"/>
    <w:rsid w:val="0040328C"/>
    <w:rsid w:val="004079DA"/>
    <w:rsid w:val="00436A7F"/>
    <w:rsid w:val="00437B77"/>
    <w:rsid w:val="0046312B"/>
    <w:rsid w:val="004B0D95"/>
    <w:rsid w:val="004C5229"/>
    <w:rsid w:val="004C52D9"/>
    <w:rsid w:val="004D016A"/>
    <w:rsid w:val="004E6977"/>
    <w:rsid w:val="004F6E48"/>
    <w:rsid w:val="004F7F58"/>
    <w:rsid w:val="00503E9E"/>
    <w:rsid w:val="00506F6A"/>
    <w:rsid w:val="00510343"/>
    <w:rsid w:val="00514209"/>
    <w:rsid w:val="00516EAD"/>
    <w:rsid w:val="005364CC"/>
    <w:rsid w:val="00541AE7"/>
    <w:rsid w:val="00543392"/>
    <w:rsid w:val="00551DBE"/>
    <w:rsid w:val="00554537"/>
    <w:rsid w:val="00556D59"/>
    <w:rsid w:val="00571396"/>
    <w:rsid w:val="00577481"/>
    <w:rsid w:val="005A3A48"/>
    <w:rsid w:val="005B0E5F"/>
    <w:rsid w:val="005C53DF"/>
    <w:rsid w:val="005E54B4"/>
    <w:rsid w:val="00603D8F"/>
    <w:rsid w:val="00610065"/>
    <w:rsid w:val="00613BAD"/>
    <w:rsid w:val="006154B8"/>
    <w:rsid w:val="00627182"/>
    <w:rsid w:val="00630EE2"/>
    <w:rsid w:val="00644D1D"/>
    <w:rsid w:val="0065724B"/>
    <w:rsid w:val="00671508"/>
    <w:rsid w:val="00671804"/>
    <w:rsid w:val="00673E7F"/>
    <w:rsid w:val="0069556C"/>
    <w:rsid w:val="006A6800"/>
    <w:rsid w:val="006C41B4"/>
    <w:rsid w:val="006D2AAF"/>
    <w:rsid w:val="006D3812"/>
    <w:rsid w:val="006D5E91"/>
    <w:rsid w:val="006D7368"/>
    <w:rsid w:val="006E42BD"/>
    <w:rsid w:val="006F2D73"/>
    <w:rsid w:val="007072F0"/>
    <w:rsid w:val="00713E28"/>
    <w:rsid w:val="00714808"/>
    <w:rsid w:val="00717063"/>
    <w:rsid w:val="00721930"/>
    <w:rsid w:val="00724C9B"/>
    <w:rsid w:val="00725073"/>
    <w:rsid w:val="007407D8"/>
    <w:rsid w:val="00767AB4"/>
    <w:rsid w:val="007860AD"/>
    <w:rsid w:val="00791404"/>
    <w:rsid w:val="007A218B"/>
    <w:rsid w:val="007C60C1"/>
    <w:rsid w:val="007D76E6"/>
    <w:rsid w:val="007E51F9"/>
    <w:rsid w:val="008017F2"/>
    <w:rsid w:val="00801E94"/>
    <w:rsid w:val="0081535F"/>
    <w:rsid w:val="008168DB"/>
    <w:rsid w:val="00850055"/>
    <w:rsid w:val="008532AB"/>
    <w:rsid w:val="00853534"/>
    <w:rsid w:val="008722D7"/>
    <w:rsid w:val="008936F3"/>
    <w:rsid w:val="00894176"/>
    <w:rsid w:val="00895465"/>
    <w:rsid w:val="008B620D"/>
    <w:rsid w:val="008C0F7A"/>
    <w:rsid w:val="008D13FA"/>
    <w:rsid w:val="008D2F93"/>
    <w:rsid w:val="008D3250"/>
    <w:rsid w:val="008E59D7"/>
    <w:rsid w:val="008F23BE"/>
    <w:rsid w:val="00903F13"/>
    <w:rsid w:val="009211C4"/>
    <w:rsid w:val="0092619F"/>
    <w:rsid w:val="00944504"/>
    <w:rsid w:val="009547E9"/>
    <w:rsid w:val="00955490"/>
    <w:rsid w:val="009728ED"/>
    <w:rsid w:val="009741A7"/>
    <w:rsid w:val="009B49C6"/>
    <w:rsid w:val="009D0F80"/>
    <w:rsid w:val="009F0104"/>
    <w:rsid w:val="00A11482"/>
    <w:rsid w:val="00A20BCF"/>
    <w:rsid w:val="00A24E8A"/>
    <w:rsid w:val="00A3743C"/>
    <w:rsid w:val="00A626CA"/>
    <w:rsid w:val="00A66999"/>
    <w:rsid w:val="00A7195E"/>
    <w:rsid w:val="00A731EB"/>
    <w:rsid w:val="00A93497"/>
    <w:rsid w:val="00A965A6"/>
    <w:rsid w:val="00AA4820"/>
    <w:rsid w:val="00AB27A0"/>
    <w:rsid w:val="00AB4D1E"/>
    <w:rsid w:val="00AF22AF"/>
    <w:rsid w:val="00AF7E98"/>
    <w:rsid w:val="00B22575"/>
    <w:rsid w:val="00B240C5"/>
    <w:rsid w:val="00B409A9"/>
    <w:rsid w:val="00B64C72"/>
    <w:rsid w:val="00B76D54"/>
    <w:rsid w:val="00BA0A81"/>
    <w:rsid w:val="00BA1F30"/>
    <w:rsid w:val="00BA5BCD"/>
    <w:rsid w:val="00BB44B3"/>
    <w:rsid w:val="00BB6F05"/>
    <w:rsid w:val="00BD4DDD"/>
    <w:rsid w:val="00BF54EF"/>
    <w:rsid w:val="00C031ED"/>
    <w:rsid w:val="00C17C76"/>
    <w:rsid w:val="00C209E2"/>
    <w:rsid w:val="00C223F8"/>
    <w:rsid w:val="00C227A2"/>
    <w:rsid w:val="00C42A31"/>
    <w:rsid w:val="00C51420"/>
    <w:rsid w:val="00C83582"/>
    <w:rsid w:val="00C9336F"/>
    <w:rsid w:val="00CB68E8"/>
    <w:rsid w:val="00CB7169"/>
    <w:rsid w:val="00CB7915"/>
    <w:rsid w:val="00CE698B"/>
    <w:rsid w:val="00CF562E"/>
    <w:rsid w:val="00D03535"/>
    <w:rsid w:val="00D11BD1"/>
    <w:rsid w:val="00D13E17"/>
    <w:rsid w:val="00D1454D"/>
    <w:rsid w:val="00D214EC"/>
    <w:rsid w:val="00D36260"/>
    <w:rsid w:val="00D45404"/>
    <w:rsid w:val="00D53489"/>
    <w:rsid w:val="00D76329"/>
    <w:rsid w:val="00D823DD"/>
    <w:rsid w:val="00DB611E"/>
    <w:rsid w:val="00DD41F7"/>
    <w:rsid w:val="00DF0E09"/>
    <w:rsid w:val="00DF7632"/>
    <w:rsid w:val="00E00767"/>
    <w:rsid w:val="00E06EA8"/>
    <w:rsid w:val="00E1583D"/>
    <w:rsid w:val="00E16712"/>
    <w:rsid w:val="00E2263B"/>
    <w:rsid w:val="00E23832"/>
    <w:rsid w:val="00E255DE"/>
    <w:rsid w:val="00E25BC2"/>
    <w:rsid w:val="00E27858"/>
    <w:rsid w:val="00E52D20"/>
    <w:rsid w:val="00E56EAB"/>
    <w:rsid w:val="00E620F0"/>
    <w:rsid w:val="00E664DB"/>
    <w:rsid w:val="00E70C58"/>
    <w:rsid w:val="00E74274"/>
    <w:rsid w:val="00E92015"/>
    <w:rsid w:val="00E9284D"/>
    <w:rsid w:val="00EB0D71"/>
    <w:rsid w:val="00EB10D6"/>
    <w:rsid w:val="00EB3E6E"/>
    <w:rsid w:val="00EB521E"/>
    <w:rsid w:val="00EC0E14"/>
    <w:rsid w:val="00EC1B3C"/>
    <w:rsid w:val="00EC33FC"/>
    <w:rsid w:val="00EC3D0E"/>
    <w:rsid w:val="00EF05A7"/>
    <w:rsid w:val="00EF268B"/>
    <w:rsid w:val="00EF4928"/>
    <w:rsid w:val="00EF5A58"/>
    <w:rsid w:val="00F05845"/>
    <w:rsid w:val="00F10AD7"/>
    <w:rsid w:val="00F10B34"/>
    <w:rsid w:val="00F32AEC"/>
    <w:rsid w:val="00F32FF4"/>
    <w:rsid w:val="00F45419"/>
    <w:rsid w:val="00F462F9"/>
    <w:rsid w:val="00F6352A"/>
    <w:rsid w:val="00F67D35"/>
    <w:rsid w:val="00F73FD4"/>
    <w:rsid w:val="00F81F51"/>
    <w:rsid w:val="00F97B3E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xmsonormal">
    <w:name w:val="x_x_xxxmsonormal"/>
    <w:basedOn w:val="Normal"/>
    <w:rsid w:val="0032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iv8955783563ydpde4dd935msonormal">
    <w:name w:val="yiv8955783563ydpde4dd935msonormal"/>
    <w:basedOn w:val="Normal"/>
    <w:rsid w:val="0040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xmsonormal0">
    <w:name w:val="xxxxxmsonormal"/>
    <w:basedOn w:val="Normal"/>
    <w:rsid w:val="003F35D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xmsonormal">
    <w:name w:val="xmsonormal"/>
    <w:basedOn w:val="Normal"/>
    <w:rsid w:val="003F35D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xspelle">
    <w:name w:val="xspelle"/>
    <w:basedOn w:val="DefaultParagraphFont"/>
    <w:rsid w:val="003F3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xmsonormal">
    <w:name w:val="x_x_xxxmsonormal"/>
    <w:basedOn w:val="Normal"/>
    <w:rsid w:val="0032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iv8955783563ydpde4dd935msonormal">
    <w:name w:val="yiv8955783563ydpde4dd935msonormal"/>
    <w:basedOn w:val="Normal"/>
    <w:rsid w:val="0040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xmsonormal0">
    <w:name w:val="xxxxxmsonormal"/>
    <w:basedOn w:val="Normal"/>
    <w:rsid w:val="003F35D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xmsonormal">
    <w:name w:val="xmsonormal"/>
    <w:basedOn w:val="Normal"/>
    <w:rsid w:val="003F35D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xspelle">
    <w:name w:val="xspelle"/>
    <w:basedOn w:val="DefaultParagraphFont"/>
    <w:rsid w:val="003F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 სიმპტომების დაწყების თარიღის მიხედვით, საქართველო, 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</a:t>
            </a:r>
            <a:r>
              <a:rPr lang="ka-GE" sz="1200" baseline="0"/>
              <a:t>07.2017-08.04.201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15796777976534676"/>
          <c:y val="3.969274329908253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Sheet1!$A$2:$A$92</c:f>
              <c:strCache>
                <c:ptCount val="91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</c:v>
                </c:pt>
                <c:pt idx="79">
                  <c:v>3</c:v>
                </c:pt>
                <c:pt idx="80">
                  <c:v>4</c:v>
                </c:pt>
                <c:pt idx="81">
                  <c:v>5</c:v>
                </c:pt>
                <c:pt idx="82">
                  <c:v>6</c:v>
                </c:pt>
                <c:pt idx="83">
                  <c:v>7</c:v>
                </c:pt>
                <c:pt idx="84">
                  <c:v>8</c:v>
                </c:pt>
                <c:pt idx="85">
                  <c:v>9</c:v>
                </c:pt>
                <c:pt idx="86">
                  <c:v>10</c:v>
                </c:pt>
                <c:pt idx="87">
                  <c:v>11</c:v>
                </c:pt>
                <c:pt idx="88">
                  <c:v>12</c:v>
                </c:pt>
                <c:pt idx="89">
                  <c:v>13</c:v>
                </c:pt>
                <c:pt idx="90">
                  <c:v>14</c:v>
                </c:pt>
              </c:strCache>
            </c:strRef>
          </c:cat>
          <c:val>
            <c:numRef>
              <c:f>Sheet1!$B$2:$B$92</c:f>
              <c:numCache>
                <c:formatCode>General</c:formatCode>
                <c:ptCount val="91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24</c:v>
                </c:pt>
                <c:pt idx="69">
                  <c:v>36</c:v>
                </c:pt>
                <c:pt idx="70">
                  <c:v>64</c:v>
                </c:pt>
                <c:pt idx="71">
                  <c:v>63</c:v>
                </c:pt>
                <c:pt idx="72">
                  <c:v>106</c:v>
                </c:pt>
                <c:pt idx="73">
                  <c:v>84</c:v>
                </c:pt>
                <c:pt idx="74">
                  <c:v>86</c:v>
                </c:pt>
                <c:pt idx="75">
                  <c:v>139</c:v>
                </c:pt>
                <c:pt idx="76">
                  <c:v>99</c:v>
                </c:pt>
                <c:pt idx="77">
                  <c:v>182</c:v>
                </c:pt>
                <c:pt idx="78">
                  <c:v>196</c:v>
                </c:pt>
                <c:pt idx="79">
                  <c:v>316</c:v>
                </c:pt>
                <c:pt idx="80">
                  <c:v>293</c:v>
                </c:pt>
                <c:pt idx="81">
                  <c:v>340</c:v>
                </c:pt>
                <c:pt idx="82">
                  <c:v>278</c:v>
                </c:pt>
                <c:pt idx="83">
                  <c:v>269</c:v>
                </c:pt>
                <c:pt idx="84">
                  <c:v>190</c:v>
                </c:pt>
                <c:pt idx="85">
                  <c:v>205</c:v>
                </c:pt>
                <c:pt idx="86">
                  <c:v>200</c:v>
                </c:pt>
                <c:pt idx="87">
                  <c:v>165</c:v>
                </c:pt>
                <c:pt idx="88">
                  <c:v>165</c:v>
                </c:pt>
                <c:pt idx="89">
                  <c:v>168</c:v>
                </c:pt>
                <c:pt idx="90">
                  <c:v>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949312"/>
        <c:axId val="48088576"/>
      </c:lineChart>
      <c:catAx>
        <c:axId val="155949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088576"/>
        <c:crosses val="autoZero"/>
        <c:auto val="1"/>
        <c:lblAlgn val="ctr"/>
        <c:lblOffset val="100"/>
        <c:noMultiLvlLbl val="0"/>
      </c:catAx>
      <c:valAx>
        <c:axId val="4808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949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BA79-1212-4B21-84BF-1FF0704E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Chlikadze</dc:creator>
  <cp:lastModifiedBy>ncdc</cp:lastModifiedBy>
  <cp:revision>3</cp:revision>
  <dcterms:created xsi:type="dcterms:W3CDTF">2019-04-08T14:14:00Z</dcterms:created>
  <dcterms:modified xsi:type="dcterms:W3CDTF">2019-04-08T14:21:00Z</dcterms:modified>
</cp:coreProperties>
</file>